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毕节市</w:t>
      </w:r>
      <w:r>
        <w:rPr>
          <w:rFonts w:hint="eastAsia" w:ascii="方正小标宋_GBK" w:hAnsi="方正小标宋_GBK" w:eastAsia="方正小标宋_GBK" w:cs="方正小标宋_GBK"/>
          <w:i w:val="0"/>
          <w:iCs w:val="0"/>
          <w:caps w:val="0"/>
          <w:color w:val="000000"/>
          <w:spacing w:val="0"/>
          <w:sz w:val="44"/>
          <w:szCs w:val="44"/>
          <w:lang w:val="en-US" w:eastAsia="zh-CN"/>
        </w:rPr>
        <w:t>发展和改革委员会</w:t>
      </w:r>
      <w:r>
        <w:rPr>
          <w:rFonts w:hint="eastAsia" w:ascii="方正小标宋_GBK" w:hAnsi="方正小标宋_GBK" w:eastAsia="方正小标宋_GBK" w:cs="方正小标宋_GBK"/>
          <w:i w:val="0"/>
          <w:iCs w:val="0"/>
          <w:caps w:val="0"/>
          <w:color w:val="000000"/>
          <w:spacing w:val="0"/>
          <w:sz w:val="44"/>
          <w:szCs w:val="44"/>
        </w:rPr>
        <w:t>下属事业单位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2022年第一批次“人才强市”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人才引进面试工作新冠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疫情防控实施方案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firstLine="0"/>
        <w:jc w:val="lef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firstLine="0"/>
        <w:jc w:val="left"/>
        <w:textAlignment w:val="auto"/>
        <w:rPr>
          <w:rFonts w:hint="default" w:ascii="Times New Roman" w:hAnsi="Times New Roman" w:eastAsia="仿宋_GB2312" w:cs="Times New Roman"/>
          <w:color w:val="auto"/>
          <w:kern w:val="0"/>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为做好毕节市发展和改革委员会下属事业单位2022年第一批次“人才强市”人才引进面试</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省政府、市委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val="en-US" w:eastAsia="zh-CN"/>
        </w:rPr>
        <w:t>面试</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面试时间定于2022年8月26日进行，如遇疫情突发情况，考试根据实际情况予以延期。</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val="en-US" w:eastAsia="zh-CN"/>
        </w:rPr>
        <w:t>面试</w:t>
      </w:r>
      <w:r>
        <w:rPr>
          <w:rFonts w:hint="eastAsia" w:ascii="楷体_GB2312" w:hAnsi="楷体_GB2312" w:eastAsia="楷体_GB2312" w:cs="楷体_GB2312"/>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不能参加面试人员和考务工作人员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（1）面试前10天内境外、港、台返回人员；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sz w:val="32"/>
          <w:szCs w:val="32"/>
          <w:lang w:val="en-US" w:eastAsia="zh-CN"/>
        </w:rPr>
        <w:t>前7天内省外中、高风险地区返回人员；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sz w:val="32"/>
          <w:szCs w:val="32"/>
          <w:lang w:val="en-US" w:eastAsia="zh-CN"/>
        </w:rPr>
        <w:t>前7天内有省外本土阳性感染者报告且存在社区传播风险的县（市、区、旗）旅居史，未排除感染风险的人员（高风险：7天集中隔离+5次核酸检测；中风险：7天居家隔离+3次核酸检测）；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sz w:val="32"/>
          <w:szCs w:val="32"/>
          <w:lang w:val="en-US" w:eastAsia="zh-CN"/>
        </w:rPr>
        <w:t>前3天内有省外本土阳性感染者</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且存在社区传播风险的县（市、区、旗）低风险地区</w:t>
      </w:r>
      <w:r>
        <w:rPr>
          <w:rFonts w:hint="eastAsia" w:ascii="仿宋_GB2312" w:hAnsi="仿宋_GB2312" w:eastAsia="仿宋_GB2312" w:cs="仿宋_GB2312"/>
          <w:sz w:val="32"/>
          <w:szCs w:val="32"/>
          <w:lang w:val="en-US" w:eastAsia="zh-CN"/>
        </w:rPr>
        <w:t>旅居史人员（低风险：“三天两检”）；</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（6）仍处于医学隔离期或观察期的密切接触</w:t>
      </w:r>
      <w:r>
        <w:rPr>
          <w:rFonts w:hint="eastAsia" w:ascii="仿宋_GB2312" w:hAnsi="仿宋_GB2312" w:eastAsia="仿宋_GB2312" w:cs="仿宋_GB2312"/>
          <w:color w:val="auto"/>
          <w:sz w:val="32"/>
          <w:szCs w:val="32"/>
          <w:lang w:val="en-US" w:eastAsia="zh-CN"/>
        </w:rPr>
        <w:t>者和次密切接触者；</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仍处于随访或医学观察期内的人员；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（8）与阳性感染者同乘交通工具或活动轨迹</w:t>
      </w:r>
      <w:r>
        <w:rPr>
          <w:rFonts w:hint="eastAsia" w:ascii="仿宋_GB2312" w:hAnsi="仿宋_GB2312" w:eastAsia="仿宋_GB2312" w:cs="仿宋_GB2312"/>
          <w:color w:val="auto"/>
          <w:sz w:val="32"/>
          <w:szCs w:val="32"/>
        </w:rPr>
        <w:t>有交集的</w:t>
      </w:r>
      <w:r>
        <w:rPr>
          <w:rFonts w:hint="eastAsia" w:ascii="仿宋_GB2312" w:hAnsi="仿宋_GB2312" w:eastAsia="仿宋_GB2312" w:cs="仿宋_GB2312"/>
          <w:color w:val="auto"/>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2.面试前健康监测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有参加面试人员、考务工作人员自接到工作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面试考务工作。</w:t>
      </w:r>
    </w:p>
    <w:p>
      <w:pPr>
        <w:keepNext w:val="0"/>
        <w:keepLines w:val="0"/>
        <w:pageBreakBefore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eastAsia="zh-CN"/>
        </w:rPr>
        <w:t>参</w:t>
      </w:r>
      <w:r>
        <w:rPr>
          <w:rFonts w:hint="eastAsia" w:ascii="Times New Roman" w:hAnsi="Times New Roman" w:eastAsia="仿宋_GB2312" w:cs="Times New Roman"/>
          <w:kern w:val="0"/>
          <w:sz w:val="32"/>
          <w:szCs w:val="32"/>
          <w:lang w:val="en-US" w:eastAsia="zh-CN"/>
        </w:rPr>
        <w:t>加面试</w:t>
      </w:r>
      <w:r>
        <w:rPr>
          <w:rFonts w:hint="eastAsia" w:ascii="Times New Roman" w:hAnsi="Times New Roman" w:eastAsia="仿宋_GB2312" w:cs="Times New Roman"/>
          <w:kern w:val="0"/>
          <w:sz w:val="32"/>
          <w:szCs w:val="32"/>
          <w:lang w:eastAsia="zh-CN"/>
        </w:rPr>
        <w:t>人员</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val="en-US" w:eastAsia="zh-CN"/>
        </w:rPr>
        <w:t>面试</w:t>
      </w:r>
      <w:r>
        <w:rPr>
          <w:rFonts w:hint="default" w:ascii="Times New Roman" w:hAnsi="Times New Roman" w:eastAsia="仿宋_GB2312" w:cs="Times New Roman"/>
          <w:kern w:val="0"/>
          <w:sz w:val="32"/>
          <w:szCs w:val="32"/>
          <w:lang w:eastAsia="zh-CN"/>
        </w:rPr>
        <w:t>及</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所有参</w:t>
      </w:r>
      <w:r>
        <w:rPr>
          <w:rFonts w:hint="eastAsia" w:ascii="Times New Roman" w:hAnsi="Times New Roman" w:eastAsia="仿宋_GB2312" w:cs="Times New Roman"/>
          <w:kern w:val="0"/>
          <w:sz w:val="32"/>
          <w:szCs w:val="32"/>
          <w:lang w:val="en-US" w:eastAsia="zh-CN"/>
        </w:rPr>
        <w:t>加面试</w:t>
      </w:r>
      <w:r>
        <w:rPr>
          <w:rFonts w:hint="default" w:ascii="Times New Roman" w:hAnsi="Times New Roman" w:eastAsia="仿宋_GB2312" w:cs="Times New Roman"/>
          <w:kern w:val="0"/>
          <w:sz w:val="32"/>
          <w:szCs w:val="32"/>
          <w:lang w:eastAsia="zh-CN"/>
        </w:rPr>
        <w:t>人员</w:t>
      </w:r>
      <w:r>
        <w:rPr>
          <w:rFonts w:hint="default" w:ascii="Times New Roman" w:hAnsi="Times New Roman" w:eastAsia="仿宋_GB2312" w:cs="Times New Roman"/>
          <w:kern w:val="0"/>
          <w:sz w:val="32"/>
          <w:szCs w:val="32"/>
        </w:rPr>
        <w:t>及工作人员进入</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79" w:lineRule="exact"/>
        <w:ind w:left="0" w:leftChars="0"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adjustRightInd/>
        <w:snapToGrid/>
        <w:spacing w:line="579" w:lineRule="exact"/>
        <w:ind w:left="0" w:leftChars="0"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（2）有陆地边境口岸城市（除与香港、澳门有口岸相连的城市除外）旅居史的来（返）毕人员，须持有入黔前48小时内核酸检测阴性证明，如无相关证明，抵黔后实行“三天两检”。</w:t>
      </w:r>
    </w:p>
    <w:p>
      <w:pPr>
        <w:pStyle w:val="2"/>
        <w:keepNext w:val="0"/>
        <w:keepLines w:val="0"/>
        <w:pageBreakBefore w:val="0"/>
        <w:kinsoku/>
        <w:wordWrap/>
        <w:overflowPunct/>
        <w:topLinePunct w:val="0"/>
        <w:autoSpaceDE/>
        <w:autoSpaceDN/>
        <w:bidi w:val="0"/>
        <w:spacing w:before="0" w:after="0" w:line="579" w:lineRule="exact"/>
        <w:ind w:left="0" w:leftChars="0" w:firstLine="640" w:firstLineChars="200"/>
        <w:textAlignment w:val="auto"/>
        <w:rPr>
          <w:rFonts w:hint="default"/>
          <w:lang w:val="en-US" w:eastAsia="zh-CN"/>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（3）有省内本土阳性感染者报告且存在社区传播风险的县（市、区）低风险地区人员须提供48小时内核酸检测阴性证明。</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5.面试</w:t>
      </w:r>
      <w:r>
        <w:rPr>
          <w:rFonts w:hint="eastAsia" w:ascii="仿宋_GB2312" w:hAnsi="仿宋_GB2312" w:eastAsia="仿宋_GB2312" w:cs="仿宋_GB2312"/>
          <w:b/>
          <w:bCs/>
          <w:sz w:val="32"/>
          <w:szCs w:val="32"/>
          <w:lang w:eastAsia="zh-CN"/>
        </w:rPr>
        <w:t>前</w:t>
      </w:r>
      <w:r>
        <w:rPr>
          <w:rFonts w:hint="eastAsia" w:ascii="仿宋_GB2312" w:hAnsi="仿宋_GB2312" w:eastAsia="仿宋_GB2312" w:cs="仿宋_GB2312"/>
          <w:b/>
          <w:bCs/>
          <w:sz w:val="32"/>
          <w:szCs w:val="32"/>
          <w:lang w:val="en-US" w:eastAsia="zh-CN"/>
        </w:rPr>
        <w:t>疫苗接种</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所有参</w:t>
      </w:r>
      <w:r>
        <w:rPr>
          <w:rFonts w:hint="eastAsia" w:ascii="仿宋_GB2312" w:hAnsi="仿宋_GB2312" w:eastAsia="仿宋_GB2312" w:cs="仿宋_GB2312"/>
          <w:sz w:val="32"/>
          <w:szCs w:val="32"/>
          <w:lang w:val="en-US" w:eastAsia="zh-CN"/>
        </w:rPr>
        <w:t>加面试考生及考</w:t>
      </w:r>
      <w:r>
        <w:rPr>
          <w:rFonts w:hint="eastAsia" w:ascii="仿宋_GB2312" w:hAnsi="仿宋_GB2312" w:eastAsia="仿宋_GB2312" w:cs="仿宋_GB2312"/>
          <w:sz w:val="32"/>
          <w:szCs w:val="32"/>
        </w:rPr>
        <w:t>务工作人员符合接种条件的须在会前进行新冠病毒疫苗全程接种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79" w:lineRule="exact"/>
        <w:ind w:left="0" w:leftChars="0"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2"/>
          <w:sz w:val="32"/>
          <w:szCs w:val="32"/>
          <w:lang w:eastAsia="zh-CN"/>
        </w:rPr>
        <w:t>参</w:t>
      </w:r>
      <w:r>
        <w:rPr>
          <w:rFonts w:hint="eastAsia" w:ascii="Times New Roman" w:hAnsi="Times New Roman" w:eastAsia="仿宋_GB2312" w:cs="Times New Roman"/>
          <w:kern w:val="0"/>
          <w:sz w:val="32"/>
          <w:szCs w:val="32"/>
          <w:lang w:val="en-US" w:eastAsia="zh-CN"/>
        </w:rPr>
        <w:t>加面试</w:t>
      </w:r>
      <w:r>
        <w:rPr>
          <w:rFonts w:hint="eastAsia" w:ascii="Times New Roman" w:hAnsi="Times New Roman" w:eastAsia="仿宋_GB2312" w:cs="Times New Roman"/>
          <w:kern w:val="2"/>
          <w:sz w:val="32"/>
          <w:szCs w:val="32"/>
          <w:lang w:val="en-US" w:eastAsia="zh-CN"/>
        </w:rPr>
        <w:t>考生</w:t>
      </w:r>
      <w:r>
        <w:rPr>
          <w:rFonts w:hint="default" w:ascii="Times New Roman" w:hAnsi="Times New Roman" w:eastAsia="仿宋_GB2312" w:cs="Times New Roman"/>
          <w:kern w:val="0"/>
          <w:sz w:val="32"/>
          <w:szCs w:val="32"/>
        </w:rPr>
        <w:t>及工作人员</w:t>
      </w:r>
      <w:r>
        <w:rPr>
          <w:rFonts w:hint="default" w:ascii="Times New Roman" w:hAnsi="Times New Roman" w:eastAsia="仿宋_GB2312" w:cs="Times New Roman"/>
          <w:sz w:val="32"/>
          <w:szCs w:val="32"/>
        </w:rPr>
        <w:t>乘坐公共交通工具前往</w:t>
      </w:r>
      <w:r>
        <w:rPr>
          <w:rFonts w:hint="default" w:ascii="Times New Roman" w:hAnsi="Times New Roman" w:eastAsia="仿宋_GB2312" w:cs="Times New Roman"/>
          <w:sz w:val="32"/>
          <w:szCs w:val="32"/>
          <w:lang w:eastAsia="zh-CN"/>
        </w:rPr>
        <w:t>会场途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w:t>
      </w:r>
      <w:r>
        <w:rPr>
          <w:rFonts w:hint="eastAsia" w:ascii="Times New Roman" w:hAnsi="Times New Roman" w:eastAsia="仿宋_GB2312" w:cs="Times New Roman"/>
          <w:sz w:val="32"/>
          <w:szCs w:val="32"/>
          <w:lang w:val="en-US" w:eastAsia="zh-CN"/>
        </w:rPr>
        <w:t>部</w:t>
      </w:r>
      <w:r>
        <w:rPr>
          <w:rFonts w:hint="default" w:ascii="Times New Roman" w:hAnsi="Times New Roman" w:eastAsia="仿宋_GB2312" w:cs="Times New Roman"/>
          <w:sz w:val="32"/>
          <w:szCs w:val="32"/>
        </w:rPr>
        <w:t>消</w:t>
      </w:r>
      <w:r>
        <w:rPr>
          <w:rFonts w:hint="eastAsia" w:ascii="Times New Roman" w:hAnsi="Times New Roman" w:eastAsia="仿宋_GB2312" w:cs="Times New Roman"/>
          <w:sz w:val="32"/>
          <w:szCs w:val="32"/>
          <w:lang w:val="en-US" w:eastAsia="zh-CN"/>
        </w:rPr>
        <w:t>毒</w:t>
      </w:r>
      <w:bookmarkStart w:id="0" w:name="_GoBack"/>
      <w:bookmarkEnd w:id="0"/>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（二）</w:t>
      </w:r>
      <w:r>
        <w:rPr>
          <w:rFonts w:hint="default" w:ascii="楷体_GB2312" w:hAnsi="楷体_GB2312" w:eastAsia="楷体_GB2312" w:cs="楷体_GB2312"/>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所有考生应根据当前防控要求做好相应准备，确保</w:t>
      </w:r>
      <w:r>
        <w:rPr>
          <w:rFonts w:hint="eastAsia"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（含资格确认、</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、体检，下同）当天能顺利参加，因不符合防控要求不能参加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上午面试</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面试9:30起</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9:40</w:t>
      </w:r>
      <w:r>
        <w:rPr>
          <w:rFonts w:hint="default" w:ascii="Times New Roman" w:hAnsi="Times New Roman" w:eastAsia="仿宋_GB2312" w:cs="Times New Roman"/>
          <w:sz w:val="32"/>
          <w:szCs w:val="32"/>
        </w:rPr>
        <w:t>仍未到达指定</w:t>
      </w:r>
      <w:r>
        <w:rPr>
          <w:rFonts w:hint="eastAsia" w:ascii="Times New Roman" w:hAnsi="Times New Roman" w:eastAsia="仿宋_GB2312" w:cs="Times New Roman"/>
          <w:sz w:val="32"/>
          <w:szCs w:val="32"/>
          <w:lang w:val="en-US" w:eastAsia="zh-CN"/>
        </w:rPr>
        <w:t>候</w:t>
      </w:r>
      <w:r>
        <w:rPr>
          <w:rFonts w:hint="default" w:ascii="Times New Roman" w:hAnsi="Times New Roman" w:eastAsia="仿宋_GB2312" w:cs="Times New Roman"/>
          <w:sz w:val="32"/>
          <w:szCs w:val="32"/>
        </w:rPr>
        <w:t>考室的</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人员视为自动弃权，责任自负。考生应尽早到达考点，在考点入场检测处，要提前调出当天本人“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（三）</w:t>
      </w:r>
      <w:r>
        <w:rPr>
          <w:rFonts w:hint="default" w:ascii="楷体_GB2312" w:hAnsi="楷体_GB2312" w:eastAsia="楷体_GB2312" w:cs="楷体_GB2312"/>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79" w:lineRule="exact"/>
        <w:ind w:left="0" w:leftChars="0"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val="en-US" w:eastAsia="zh-CN"/>
        </w:rPr>
        <w:t xml:space="preserve">面试 </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79" w:lineRule="exact"/>
        <w:ind w:left="0" w:leftChars="0"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79" w:lineRule="exact"/>
        <w:ind w:left="0" w:leftChars="0"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pStyle w:val="5"/>
        <w:keepNext w:val="0"/>
        <w:keepLines w:val="0"/>
        <w:pageBreakBefore w:val="0"/>
        <w:widowControl/>
        <w:kinsoku/>
        <w:wordWrap/>
        <w:overflowPunct/>
        <w:topLinePunct w:val="0"/>
        <w:autoSpaceDE/>
        <w:autoSpaceDN/>
        <w:bidi w:val="0"/>
        <w:snapToGrid w:val="0"/>
        <w:spacing w:line="579" w:lineRule="exact"/>
        <w:ind w:left="0" w:leftChars="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5"/>
        <w:keepNext w:val="0"/>
        <w:keepLines w:val="0"/>
        <w:pageBreakBefore w:val="0"/>
        <w:widowControl/>
        <w:kinsoku/>
        <w:wordWrap/>
        <w:overflowPunct/>
        <w:topLinePunct w:val="0"/>
        <w:autoSpaceDE/>
        <w:autoSpaceDN/>
        <w:bidi w:val="0"/>
        <w:snapToGrid w:val="0"/>
        <w:spacing w:line="579" w:lineRule="exact"/>
        <w:ind w:left="0" w:leftChars="0"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ascii="Times New Roman" w:hAnsi="Times New Roman" w:eastAsia="仿宋_GB2312" w:cs="Times New Roman"/>
          <w:sz w:val="32"/>
          <w:szCs w:val="32"/>
          <w:lang w:val="en-US" w:eastAsia="zh-CN"/>
        </w:rPr>
        <w:t>面试</w:t>
      </w:r>
      <w:r>
        <w:rPr>
          <w:rFonts w:hint="eastAsia" w:eastAsia="仿宋_GB2312"/>
          <w:sz w:val="32"/>
          <w:szCs w:val="32"/>
          <w:lang w:eastAsia="zh-CN"/>
        </w:rPr>
        <w:t>疫情防控领导小组，</w:t>
      </w:r>
      <w:r>
        <w:rPr>
          <w:rFonts w:hint="eastAsia" w:ascii="仿宋_GB2312" w:hAnsi="仿宋_GB2312" w:eastAsia="仿宋_GB2312" w:cs="仿宋_GB2312"/>
          <w:color w:val="auto"/>
          <w:sz w:val="32"/>
          <w:szCs w:val="32"/>
          <w:lang w:val="en-US" w:eastAsia="zh-CN"/>
        </w:rPr>
        <w:t>具体</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79" w:lineRule="exact"/>
        <w:ind w:left="0" w:leftChars="0"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79"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40" w:firstLineChars="200"/>
        <w:textAlignment w:val="auto"/>
        <w:rPr>
          <w:rFonts w:hint="default"/>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5.严格落实核酸检测、全程疫苗接种、测温扫码、全程佩戴口罩、</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现场通风消毒和参加</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培训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人员消毒等措施。</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本《方案》由毕节市</w:t>
      </w:r>
      <w:r>
        <w:rPr>
          <w:rFonts w:hint="eastAsia" w:ascii="仿宋_GB2312" w:hAnsi="仿宋_GB2312" w:eastAsia="仿宋_GB2312" w:cs="仿宋_GB2312"/>
          <w:sz w:val="32"/>
          <w:szCs w:val="32"/>
          <w:lang w:val="en-US" w:eastAsia="zh-CN"/>
        </w:rPr>
        <w:t>发展和改革委员会</w:t>
      </w:r>
      <w:r>
        <w:rPr>
          <w:rFonts w:hint="eastAsia" w:ascii="仿宋_GB2312" w:hAnsi="仿宋_GB2312" w:eastAsia="仿宋_GB2312" w:cs="仿宋_GB2312"/>
          <w:sz w:val="32"/>
          <w:szCs w:val="32"/>
        </w:rPr>
        <w:t>第一批次“人才强市”人才引进疫情防控领导小组负责解释，未尽事宜由毕节市</w:t>
      </w:r>
      <w:r>
        <w:rPr>
          <w:rFonts w:hint="eastAsia" w:ascii="仿宋_GB2312" w:hAnsi="仿宋_GB2312" w:eastAsia="仿宋_GB2312" w:cs="仿宋_GB2312"/>
          <w:sz w:val="32"/>
          <w:szCs w:val="32"/>
          <w:lang w:val="en-US" w:eastAsia="zh-CN"/>
        </w:rPr>
        <w:t>发展和改革委员会</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keepNext w:val="0"/>
        <w:keepLines w:val="0"/>
        <w:pageBreakBefore w:val="0"/>
        <w:widowControl w:val="0"/>
        <w:kinsoku/>
        <w:wordWrap/>
        <w:overflowPunct/>
        <w:topLinePunct w:val="0"/>
        <w:autoSpaceDE/>
        <w:autoSpaceDN/>
        <w:bidi w:val="0"/>
        <w:adjustRightInd/>
        <w:spacing w:before="0" w:after="0" w:line="579"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毕节市</w:t>
      </w:r>
      <w:r>
        <w:rPr>
          <w:rFonts w:hint="eastAsia" w:ascii="仿宋_GB2312" w:hAnsi="仿宋_GB2312" w:eastAsia="仿宋_GB2312" w:cs="仿宋_GB2312"/>
          <w:sz w:val="32"/>
          <w:szCs w:val="32"/>
          <w:lang w:val="en-US" w:eastAsia="zh-CN"/>
        </w:rPr>
        <w:t>发展和改革委员会</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2022年8月12日</w:t>
      </w:r>
    </w:p>
    <w:p>
      <w:pPr>
        <w:pStyle w:val="7"/>
        <w:keepNext w:val="0"/>
        <w:keepLines w:val="0"/>
        <w:pageBreakBefore w:val="0"/>
        <w:kinsoku/>
        <w:wordWrap/>
        <w:overflowPunct/>
        <w:topLinePunct w:val="0"/>
        <w:autoSpaceDE/>
        <w:autoSpaceDN/>
        <w:bidi w:val="0"/>
        <w:spacing w:line="579" w:lineRule="exact"/>
        <w:ind w:left="0" w:leftChars="0" w:firstLine="0" w:firstLineChars="0"/>
        <w:textAlignment w:val="auto"/>
        <w:rPr>
          <w:rFonts w:eastAsia="黑体"/>
          <w:color w:val="000000"/>
          <w:sz w:val="32"/>
          <w:szCs w:val="32"/>
        </w:rPr>
      </w:pPr>
    </w:p>
    <w:p>
      <w:pPr>
        <w:pStyle w:val="7"/>
        <w:ind w:firstLine="0" w:firstLineChars="0"/>
        <w:rPr>
          <w:rFonts w:eastAsia="黑体"/>
          <w:color w:val="000000"/>
          <w:sz w:val="32"/>
          <w:szCs w:val="32"/>
        </w:rPr>
      </w:pPr>
    </w:p>
    <w:p>
      <w:pPr>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8"/>
        <w:tblW w:w="5214" w:type="pct"/>
        <w:jc w:val="center"/>
        <w:tblLayout w:type="autofit"/>
        <w:tblCellMar>
          <w:top w:w="0" w:type="dxa"/>
          <w:left w:w="0" w:type="dxa"/>
          <w:bottom w:w="0" w:type="dxa"/>
          <w:right w:w="0" w:type="dxa"/>
        </w:tblCellMar>
      </w:tblPr>
      <w:tblGrid>
        <w:gridCol w:w="1345"/>
        <w:gridCol w:w="1758"/>
        <w:gridCol w:w="1116"/>
        <w:gridCol w:w="2648"/>
        <w:gridCol w:w="885"/>
        <w:gridCol w:w="941"/>
      </w:tblGrid>
      <w:tr>
        <w:tblPrEx>
          <w:tblCellMar>
            <w:top w:w="0" w:type="dxa"/>
            <w:left w:w="0" w:type="dxa"/>
            <w:bottom w:w="0" w:type="dxa"/>
            <w:right w:w="0" w:type="dxa"/>
          </w:tblCellMar>
        </w:tblPrEx>
        <w:trPr>
          <w:trHeight w:val="423" w:hRule="atLeast"/>
          <w:jc w:val="center"/>
        </w:trPr>
        <w:tc>
          <w:tcPr>
            <w:tcW w:w="7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性  别</w:t>
            </w:r>
          </w:p>
        </w:tc>
        <w:tc>
          <w:tcPr>
            <w:tcW w:w="15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年  龄</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15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30" w:hRule="atLeast"/>
          <w:jc w:val="center"/>
        </w:trPr>
        <w:tc>
          <w:tcPr>
            <w:tcW w:w="7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10</w:t>
            </w:r>
            <w:r>
              <w:rPr>
                <w:rFonts w:hint="eastAsia" w:ascii="黑体" w:hAnsi="黑体" w:eastAsia="黑体" w:cs="黑体"/>
                <w:kern w:val="0"/>
                <w:sz w:val="24"/>
              </w:rPr>
              <w:t>天</w:t>
            </w:r>
            <w:r>
              <w:rPr>
                <w:rFonts w:hint="eastAsia" w:ascii="黑体" w:hAnsi="黑体" w:eastAsia="黑体" w:cs="黑体"/>
                <w:kern w:val="0"/>
                <w:sz w:val="24"/>
                <w:szCs w:val="28"/>
              </w:rPr>
              <w:t>是否有国外</w:t>
            </w:r>
            <w:r>
              <w:rPr>
                <w:rFonts w:hint="eastAsia" w:ascii="黑体" w:hAnsi="黑体" w:eastAsia="黑体" w:cs="黑体"/>
                <w:kern w:val="0"/>
                <w:sz w:val="24"/>
                <w:szCs w:val="28"/>
                <w:lang w:eastAsia="zh-CN"/>
              </w:rPr>
              <w:t>、港、台</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7</w:t>
            </w:r>
            <w:r>
              <w:rPr>
                <w:rFonts w:hint="eastAsia" w:ascii="黑体" w:hAnsi="黑体" w:eastAsia="黑体" w:cs="黑体"/>
                <w:kern w:val="0"/>
                <w:sz w:val="24"/>
              </w:rPr>
              <w:t>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4"/>
                <w:szCs w:val="28"/>
                <w:lang w:eastAsia="zh-CN"/>
              </w:rPr>
            </w:pPr>
            <w:r>
              <w:rPr>
                <w:rFonts w:hint="eastAsia" w:ascii="黑体" w:hAnsi="黑体" w:eastAsia="黑体" w:cs="黑体"/>
                <w:color w:val="auto"/>
                <w:kern w:val="0"/>
                <w:sz w:val="24"/>
                <w:szCs w:val="28"/>
                <w:lang w:eastAsia="zh-CN"/>
              </w:rPr>
              <w:t>活动前</w:t>
            </w:r>
            <w:r>
              <w:rPr>
                <w:rFonts w:hint="eastAsia" w:ascii="黑体" w:hAnsi="黑体" w:eastAsia="黑体" w:cs="黑体"/>
                <w:color w:val="auto"/>
                <w:kern w:val="0"/>
                <w:sz w:val="24"/>
                <w:szCs w:val="28"/>
                <w:lang w:val="en-US" w:eastAsia="zh-CN"/>
              </w:rPr>
              <w:t>3</w:t>
            </w:r>
            <w:r>
              <w:rPr>
                <w:rFonts w:hint="eastAsia" w:ascii="黑体" w:hAnsi="黑体" w:eastAsia="黑体" w:cs="黑体"/>
                <w:color w:val="auto"/>
                <w:kern w:val="0"/>
                <w:sz w:val="24"/>
                <w:szCs w:val="28"/>
                <w:lang w:eastAsia="zh-CN"/>
              </w:rPr>
              <w:t>天是否有本土阳性感染者报告县（市、区、旗）旅居史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4"/>
                <w:szCs w:val="28"/>
                <w:lang w:eastAsia="zh-CN"/>
              </w:rPr>
            </w:pPr>
            <w:r>
              <w:rPr>
                <w:rFonts w:hint="eastAsia" w:ascii="黑体" w:hAnsi="黑体" w:eastAsia="黑体" w:cs="黑体"/>
                <w:color w:val="auto"/>
                <w:kern w:val="0"/>
                <w:sz w:val="24"/>
                <w:szCs w:val="28"/>
                <w:lang w:eastAsia="zh-CN"/>
              </w:rPr>
              <w:t>活动</w:t>
            </w:r>
            <w:r>
              <w:rPr>
                <w:rFonts w:hint="eastAsia" w:ascii="黑体" w:hAnsi="黑体" w:eastAsia="黑体" w:cs="黑体"/>
                <w:color w:val="auto"/>
                <w:kern w:val="0"/>
                <w:sz w:val="24"/>
                <w:szCs w:val="28"/>
              </w:rPr>
              <w:t>前</w:t>
            </w:r>
            <w:r>
              <w:rPr>
                <w:rFonts w:hint="eastAsia" w:ascii="黑体" w:hAnsi="黑体" w:eastAsia="黑体" w:cs="黑体"/>
                <w:color w:val="auto"/>
                <w:kern w:val="0"/>
                <w:sz w:val="24"/>
                <w:szCs w:val="28"/>
                <w:lang w:val="en-US" w:eastAsia="zh-CN"/>
              </w:rPr>
              <w:t>3</w:t>
            </w:r>
            <w:r>
              <w:rPr>
                <w:rFonts w:hint="eastAsia" w:ascii="黑体" w:hAnsi="黑体" w:eastAsia="黑体" w:cs="黑体"/>
                <w:color w:val="auto"/>
                <w:kern w:val="0"/>
                <w:sz w:val="24"/>
                <w:szCs w:val="28"/>
              </w:rPr>
              <w:t>天</w:t>
            </w:r>
            <w:r>
              <w:rPr>
                <w:rFonts w:hint="eastAsia" w:ascii="黑体" w:hAnsi="黑体" w:eastAsia="黑体" w:cs="黑体"/>
                <w:color w:val="auto"/>
                <w:kern w:val="0"/>
                <w:sz w:val="24"/>
                <w:szCs w:val="28"/>
                <w:lang w:eastAsia="zh-CN"/>
              </w:rPr>
              <w:t>是否</w:t>
            </w:r>
            <w:r>
              <w:rPr>
                <w:rFonts w:hint="eastAsia" w:ascii="黑体" w:hAnsi="黑体" w:eastAsia="黑体" w:cs="黑体"/>
                <w:color w:val="auto"/>
                <w:kern w:val="0"/>
                <w:sz w:val="24"/>
                <w:szCs w:val="28"/>
              </w:rPr>
              <w:t>有陆地边境口岸城市旅居史</w:t>
            </w:r>
            <w:r>
              <w:rPr>
                <w:rFonts w:hint="eastAsia" w:ascii="黑体" w:hAnsi="黑体" w:eastAsia="黑体" w:cs="黑体"/>
                <w:color w:val="auto"/>
                <w:kern w:val="0"/>
                <w:sz w:val="24"/>
                <w:szCs w:val="28"/>
                <w:lang w:eastAsia="zh-CN"/>
              </w:rPr>
              <w:t>（备注具体城市）</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spacing w:val="-17"/>
                <w:kern w:val="0"/>
                <w:sz w:val="24"/>
                <w:szCs w:val="28"/>
                <w:lang w:eastAsia="zh-CN"/>
              </w:rPr>
              <w:t>活动前</w:t>
            </w:r>
            <w:r>
              <w:rPr>
                <w:rFonts w:hint="eastAsia" w:ascii="黑体" w:hAnsi="黑体" w:eastAsia="黑体" w:cs="黑体"/>
                <w:spacing w:val="-17"/>
                <w:kern w:val="0"/>
                <w:sz w:val="24"/>
                <w:szCs w:val="28"/>
                <w:lang w:val="en-US" w:eastAsia="zh-CN"/>
              </w:rPr>
              <w:t>2天</w:t>
            </w:r>
            <w:r>
              <w:rPr>
                <w:rFonts w:hint="eastAsia" w:ascii="黑体" w:hAnsi="黑体" w:eastAsia="黑体" w:cs="黑体"/>
                <w:spacing w:val="-17"/>
                <w:kern w:val="0"/>
                <w:sz w:val="24"/>
                <w:szCs w:val="28"/>
                <w:lang w:eastAsia="zh-CN"/>
              </w:rPr>
              <w:t>是否有</w:t>
            </w:r>
            <w:r>
              <w:rPr>
                <w:rFonts w:hint="eastAsia" w:ascii="黑体" w:hAnsi="黑体" w:eastAsia="黑体" w:cs="黑体"/>
                <w:spacing w:val="-17"/>
                <w:kern w:val="0"/>
                <w:sz w:val="24"/>
                <w:szCs w:val="28"/>
              </w:rPr>
              <w:t>省内本土阳性感染者报告</w:t>
            </w:r>
            <w:r>
              <w:rPr>
                <w:rFonts w:hint="eastAsia" w:ascii="黑体" w:hAnsi="黑体" w:eastAsia="黑体" w:cs="黑体"/>
                <w:spacing w:val="-17"/>
                <w:kern w:val="0"/>
                <w:sz w:val="24"/>
                <w:szCs w:val="28"/>
                <w:lang w:eastAsia="zh-CN"/>
              </w:rPr>
              <w:t>县（市、区）低风险地区旅居史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lang w:val="en-US" w:eastAsia="zh-CN"/>
              </w:rPr>
              <w:t>通信大数据行程码是否带星号</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2"/>
              <w:rPr>
                <w:rFonts w:hint="eastAsia"/>
              </w:rPr>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WY1MzMwNWI3Yjk5NDkwNjUwOGNmODFlYzAxNGUifQ=="/>
  </w:docVars>
  <w:rsids>
    <w:rsidRoot w:val="19B4702B"/>
    <w:rsid w:val="01371452"/>
    <w:rsid w:val="01A03863"/>
    <w:rsid w:val="026C7714"/>
    <w:rsid w:val="037277DE"/>
    <w:rsid w:val="04ED7D8A"/>
    <w:rsid w:val="053A0327"/>
    <w:rsid w:val="05683784"/>
    <w:rsid w:val="057C3BE1"/>
    <w:rsid w:val="05D733E3"/>
    <w:rsid w:val="067471CF"/>
    <w:rsid w:val="072ED805"/>
    <w:rsid w:val="0B4708A0"/>
    <w:rsid w:val="0E1E4016"/>
    <w:rsid w:val="0E500B56"/>
    <w:rsid w:val="0EEC3250"/>
    <w:rsid w:val="102710D8"/>
    <w:rsid w:val="113E395D"/>
    <w:rsid w:val="1237082D"/>
    <w:rsid w:val="126D3F7A"/>
    <w:rsid w:val="13A761A4"/>
    <w:rsid w:val="142A301C"/>
    <w:rsid w:val="152679E9"/>
    <w:rsid w:val="153A0DA3"/>
    <w:rsid w:val="154F6184"/>
    <w:rsid w:val="156B2145"/>
    <w:rsid w:val="15BF12C3"/>
    <w:rsid w:val="15FF55DC"/>
    <w:rsid w:val="16320E29"/>
    <w:rsid w:val="172219D3"/>
    <w:rsid w:val="17705D10"/>
    <w:rsid w:val="17A16B1A"/>
    <w:rsid w:val="18CE76ED"/>
    <w:rsid w:val="19B4702B"/>
    <w:rsid w:val="1A094C3F"/>
    <w:rsid w:val="1BD75D2D"/>
    <w:rsid w:val="1E196318"/>
    <w:rsid w:val="1EBB357D"/>
    <w:rsid w:val="20D97038"/>
    <w:rsid w:val="210071A5"/>
    <w:rsid w:val="21815D5F"/>
    <w:rsid w:val="21CB3B14"/>
    <w:rsid w:val="22445129"/>
    <w:rsid w:val="225244AE"/>
    <w:rsid w:val="22947E0F"/>
    <w:rsid w:val="239015EC"/>
    <w:rsid w:val="23CE6292"/>
    <w:rsid w:val="23F61CD8"/>
    <w:rsid w:val="24767816"/>
    <w:rsid w:val="28AD5549"/>
    <w:rsid w:val="2F8052BA"/>
    <w:rsid w:val="2FAD3A6E"/>
    <w:rsid w:val="30C166B8"/>
    <w:rsid w:val="31EC59D5"/>
    <w:rsid w:val="32EA169B"/>
    <w:rsid w:val="33885232"/>
    <w:rsid w:val="356A0055"/>
    <w:rsid w:val="35BFC74E"/>
    <w:rsid w:val="366B661D"/>
    <w:rsid w:val="36836CC1"/>
    <w:rsid w:val="37EA7B10"/>
    <w:rsid w:val="38A20015"/>
    <w:rsid w:val="39D87645"/>
    <w:rsid w:val="3D4228CF"/>
    <w:rsid w:val="3F3224C2"/>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54596C98"/>
    <w:rsid w:val="549079CA"/>
    <w:rsid w:val="55101C5F"/>
    <w:rsid w:val="55FB3AA0"/>
    <w:rsid w:val="56D24D6C"/>
    <w:rsid w:val="56FFAD83"/>
    <w:rsid w:val="5A7F1F4B"/>
    <w:rsid w:val="5CA472BA"/>
    <w:rsid w:val="5E2F4D70"/>
    <w:rsid w:val="5F56518C"/>
    <w:rsid w:val="5F8121DB"/>
    <w:rsid w:val="60D109A5"/>
    <w:rsid w:val="62A37F6F"/>
    <w:rsid w:val="64AC1913"/>
    <w:rsid w:val="654A2869"/>
    <w:rsid w:val="66D663FE"/>
    <w:rsid w:val="66D75171"/>
    <w:rsid w:val="671C7D11"/>
    <w:rsid w:val="67DA2C2A"/>
    <w:rsid w:val="69940092"/>
    <w:rsid w:val="6B4E2A54"/>
    <w:rsid w:val="6B6802A2"/>
    <w:rsid w:val="6BA22BEA"/>
    <w:rsid w:val="6C9154F8"/>
    <w:rsid w:val="6D0A2411"/>
    <w:rsid w:val="6E4B0A6C"/>
    <w:rsid w:val="6F026342"/>
    <w:rsid w:val="71D55CAE"/>
    <w:rsid w:val="722C21AA"/>
    <w:rsid w:val="72A97961"/>
    <w:rsid w:val="73EE0EB0"/>
    <w:rsid w:val="74703080"/>
    <w:rsid w:val="765E0C40"/>
    <w:rsid w:val="76D6263F"/>
    <w:rsid w:val="77104754"/>
    <w:rsid w:val="791C2163"/>
    <w:rsid w:val="7BC942E0"/>
    <w:rsid w:val="7C663F54"/>
    <w:rsid w:val="7DED32D3"/>
    <w:rsid w:val="7FFF86B9"/>
    <w:rsid w:val="979BD145"/>
    <w:rsid w:val="A35754D3"/>
    <w:rsid w:val="D2F5C287"/>
    <w:rsid w:val="DFFB396D"/>
    <w:rsid w:val="F7BFBEF9"/>
    <w:rsid w:val="FC189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3895</Words>
  <Characters>3955</Characters>
  <Lines>0</Lines>
  <Paragraphs>0</Paragraphs>
  <TotalTime>211</TotalTime>
  <ScaleCrop>false</ScaleCrop>
  <LinksUpToDate>false</LinksUpToDate>
  <CharactersWithSpaces>4075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2021-06-17T18:16:00Z</dcterms:created>
  <dc:creator>Lenovo</dc:creator>
  <cp:lastModifiedBy>8   9</cp:lastModifiedBy>
  <cp:lastPrinted>2022-08-11T08:41:00Z</cp:lastPrinted>
  <dcterms:modified xsi:type="dcterms:W3CDTF">2022-08-12T01:53:26Z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46F127F1ECB542B78868D3D6BA944650</vt:lpwstr>
  </property>
  <property fmtid="{D5CDD505-2E9C-101B-9397-08002B2CF9AE}" pid="4" name="KSOSaveFontToCloudKey">
    <vt:lpwstr>15354578_btnclosed</vt:lpwstr>
  </property>
</Properties>
</file>