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688" w:tblpY="678"/>
        <w:tblOverlap w:val="never"/>
        <w:tblW w:w="154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900"/>
        <w:gridCol w:w="1020"/>
        <w:gridCol w:w="810"/>
        <w:gridCol w:w="863"/>
        <w:gridCol w:w="600"/>
        <w:gridCol w:w="1027"/>
        <w:gridCol w:w="1178"/>
        <w:gridCol w:w="1395"/>
        <w:gridCol w:w="1492"/>
        <w:gridCol w:w="2130"/>
        <w:gridCol w:w="2745"/>
        <w:gridCol w:w="8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46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76" w:lineRule="auto"/>
              <w:jc w:val="both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</w:p>
          <w:p>
            <w:pPr>
              <w:spacing w:line="276" w:lineRule="auto"/>
              <w:jc w:val="both"/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32"/>
                <w:szCs w:val="32"/>
                <w:lang w:val="en-US" w:eastAsia="zh-CN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贵州凤飞地广告传媒有限责任公司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2年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公开招聘临聘人员职位表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公司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编号</w:t>
            </w:r>
          </w:p>
        </w:tc>
        <w:tc>
          <w:tcPr>
            <w:tcW w:w="8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1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0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27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条件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86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1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7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4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  <w:lang w:eastAsia="zh-CN"/>
              </w:rPr>
              <w:t>贵州凤飞地广告传媒有限责任公司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设计部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2201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设计师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平面广告设计、产品造型设计、广告设计与制作、艺术设计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艺术设计、公共艺术、产品设计、视觉传达设计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不限专业（但本科阶段所学专业需满足招聘专业条件）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有国有企业工作经验者优先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营业部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2202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营业员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有国有企业工作经验者优先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2203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会计电算化、财务管理、会计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经济学、财政学、会计学、经济与金融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不限专业（但本科阶段所学专业需满足招聘专业条件）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需持有初级（或从业资格证）及以上的资格证书。有国有企业工作经验者优先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财务室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2204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周岁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以下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会计电算化、财务管理、会计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经济学、财政学、会计学、经济与金融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有国有企业工作经验者优先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0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50097"/>
    <w:rsid w:val="15775191"/>
    <w:rsid w:val="219C39D5"/>
    <w:rsid w:val="29D60A9C"/>
    <w:rsid w:val="2D067683"/>
    <w:rsid w:val="4A270CB7"/>
    <w:rsid w:val="5F7E705F"/>
    <w:rsid w:val="66AA1964"/>
    <w:rsid w:val="77D04506"/>
    <w:rsid w:val="7E95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2022-05-23T11:11:00Z</dcterms:created>
  <dc:creator>I Lost Myself In you</dc:creator>
  <cp:lastModifiedBy>I Lost Myself In you</cp:lastModifiedBy>
  <dcterms:modified xsi:type="dcterms:W3CDTF">2022-05-23T11:20:49Z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B2EA2F0D90964D25A956ECA1FFF5CF11</vt:lpwstr>
  </property>
</Properties>
</file>