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333333"/>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885"/>
        <w:jc w:val="center"/>
        <w:rPr>
          <w:rFonts w:hint="eastAsia" w:ascii="微软雅黑" w:hAnsi="微软雅黑" w:eastAsia="微软雅黑" w:cs="微软雅黑"/>
          <w:i w:val="0"/>
          <w:iCs w:val="0"/>
          <w:caps w:val="0"/>
          <w:color w:val="333333"/>
          <w:spacing w:val="0"/>
          <w:sz w:val="21"/>
          <w:szCs w:val="21"/>
        </w:rPr>
      </w:pPr>
      <w:bookmarkStart w:id="0" w:name="_GoBack"/>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福泉市</w:t>
      </w: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2021年“特岗计划”教师招聘各学科对应学历、专业、教师资格的统一界定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根据《贵州省2021年“特岗计划”招聘实施方案》和《黔南州2021年“特岗计划”招聘方案》精神，经福泉市教育局 中共福泉市委机构编制委员会办公室  福泉市财政局 福泉市人力资源和社会保障局共同商定，2021年福泉市特岗教师招聘各学科对应学历、专业、教师资格的统一界定如下：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本科：中国语言文学类（汉语言文学、汉语言、汉语国际教育、中国少数民族语言文学、古典文献学、应用语言学、秘书学）。小学教育（限报小学语文）、华文教育、人文教育、教育学、初等教育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专科：语文教育、综合文科教育、初等教育、汉语、文秘、中国少数民族语言文化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本科：数学类（数学与应用数学、信息与计算科学、数理基础科学） 、小学教育（限报小学数学）、教育学、初等教育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专科：数学教育、初等教育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本科：英语、翻译、商务英语、旅游英语、英语教育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专科：英语教育、商务英语、应用英语、旅游英语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本科：物理学类（物理学、 应用物理学、核物理、声学）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五、历史（取得报考学段及以上历史教师资格）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本科：历史学类（历史学、世界史、考古学、文物与博物馆学、文物保护技术、外国语言与外国历史）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专科：历史教育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六、政治（取得报考学段及以上思想政治、思想政治教育、思想品德、道德与法治教师资格）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本科：马克思主义理论类（科学社会主义、中国共产党历史、思想政治教育）；政治学类（政治学与行政学、国际政治、外交学、国际事务与国际关系、政治学、经济学与哲学）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专科：思想政治教育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七、音乐（取得报考学段及以上音乐教师资格）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本科：音乐与舞蹈学类（音乐表演、音乐学、作曲与作曲技术理论、舞蹈表演、舞蹈学、舞蹈编导）、艺术教育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专科：音乐教育、舞蹈教育、表演艺术、音乐表演、舞蹈表演、服装表演、影视表演、戏曲表演、编导、模特与礼仪、乐器维修技术、钢琴调律、杂技表演、乐器维护服务、钢琴伴奏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八、体育（取得报考学段及以上体育或体育与健康教师资格）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本科：体育学类（体育教育、运动训练、社会体育指导与管理、武术与民族传统体育、运动人体科学、运动康复、休闲体育）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专科：体育教育、竞技体育、运动训练、社会体育、体育保健、体育服务与管理、武术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九、美术（取得报考学段及以上美术教师资格）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本科：美术学类（美术学、绘画、雕塑、摄影、书法学、中国画）；设计学类（艺术设计学、视觉传达设计、环境设计、产品设计、服装与服饰设计、公共艺术、工艺美术、数字媒体艺术、艺术与科技）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美术教育、书法教育、艺术设计、产品造型设计、视觉传达艺术设计、电脑艺术设计、人物形象设计、装潢艺术设计、装饰艺术设计、雕塑艺术设计、雕刻艺术与家具设计、旅游工艺品设计与制作、广告设计与制作、多媒体设计与制作、应用艺术设计、陶瓷艺术设计、广告与会展、美术、舞台艺术设计、书画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十、信息技术（取得报考学段及以上信息技术教师资格）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计算机类（计算机科学与技术、软件工程、网络工程、信息安全、物联网工程、数字媒体技术、智能科学与技术、空间信息与数字技术、电子与计算机工程）、教育技术学、教育信息技术、现代信息技术教育、出版与电脑编辑技术、互联网广告设计、电脑艺术设计、信息与计算科学、计算数学及其应用软件、信息科学、电子信息科学与技术、微电子学、信息安全、网络与信息安全、计算机应用及安全管理、计算机与自动检测、网络工程、自动化、电子信息工程、通信工程、计算机科学与技术、电子科学与技术、信息工程、软件工程、微电子技术、应用电子技术、计算机及应用、计算机软件、计算机科学教育、电子与信息技术、计算机通信、计算机应用技术、计算机应用与维护、办公自动化设备运行与维修、通信技术、电子技术及微机应用、微型计算机及应用、办公自动化技术、计算机与信息管理、计算机辅助机械设计、计算机与邮政通信、信息处理与自动化、电器与电脑、数控技术及应用、网络技术与信息处理、计算机网络与软件应用、电子工程、计算机制图、电脑图文处理与制版、广告电脑制作、计算机网络技术、多媒体与网络技术、信息与多媒体技术、信息及通信网络应用技术、计算机网络工程与管理、计算机美术设计、计算机图形图像处理、计算机组装与维修、工厂计算机集中控制、计算机辅助设计、计算机控制技术、机电设备及微机应用、计算机系统维护技术、计算机辅助制造工艺、微电子控制技术、数据库应用与信息管理、计算机辅助设计与制造、信息管理与信息系统、经济信息管理与计算机应用、企业信息计算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专科：计算机教育、现代教育技术、交通安全与智能控制、数控技术、计算机辅助设计与制造、计算机控制技术、工业网络技术、数控设备应用与维护、计算机应用技术、计算机网络技术 、计算机多媒体技术、计算机系统维护 、计算机硬件与外设 、计算机信息管理、网络系统管理 、软件技术、图形图像制作 、动漫设计与制作、计算机网络与安全管理、网站规划与开发技术、游戏软件、数据通信与网络系统、航空计算机技术与应用、软件开发与项目管理、广告媒体开发、三维动画设计、计算机音乐制作、电子信息工程技术、应用电子技术 、信息安全技术、图文信息技术、微电子技术、通信技术、计算机通信、通信网络与设备 、现代教育技术、电脑艺术设计 、信息网络安全监察、司法信息技术 、司法信息安全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十一、科学（取得小学或初中科学教师资格；高中通用技术或综合实践活动教师资格；初中或高中物理、化学、生物教师资格）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本科：科学教育；物理学类专业（物理学、 应用物理学、核物理、声学）；化学类专业 (化学、应用化学、化学生物学、分子科学与工程)；生物科学类专业 (生物科学、生物技术、生物信息学、生态学）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专科：科学教育、物理教育、化学教育、生物教育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rPr>
        <w:t>十二、幼儿园（取得幼儿园或学前教育教师资格）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学前教育、幼儿教育、幼儿师范、幼儿艺术教育、幼儿艺体教育、音乐学(学前教育师资)。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报考相应学科的考生，应当在规定期限内取得相应学科教师资格证；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5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教育部 2012 版本科专业目录新旧对照表中新二级学科专业包含的原二级学科专业，按新二级学科专业对待。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14D7A"/>
    <w:rsid w:val="14C1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2021-06-24T03:30:00Z</dcterms:created>
  <dc:creator>FOTEN</dc:creator>
  <cp:lastModifiedBy>FOTEN</cp:lastModifiedBy>
  <dcterms:modified xsi:type="dcterms:W3CDTF">2021-06-24T03:30:24Z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090B5476D7124A1B99509A1A0845B3CB</vt:lpwstr>
  </property>
</Properties>
</file>